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/>
      </w:pPr>
      <w:r>
        <w:rPr/>
        <w:t xml:space="preserve">Orientação para Celebração de </w:t>
      </w:r>
      <w:bookmarkStart w:id="0" w:name="__DdeLink__532_73813125"/>
      <w:bookmarkEnd w:id="0"/>
      <w:r>
        <w:rPr/>
        <w:t>Instrumento de Parcerias</w:t>
      </w:r>
    </w:p>
    <w:p>
      <w:pPr>
        <w:pStyle w:val="Ttulododocumento"/>
        <w:rPr/>
      </w:pPr>
      <w:r>
        <w:rPr/>
      </w:r>
    </w:p>
    <w:p>
      <w:pPr>
        <w:pStyle w:val="Ttulododocumento"/>
        <w:jc w:val="left"/>
        <w:rPr/>
      </w:pPr>
      <w:r>
        <w:rPr/>
      </w:r>
    </w:p>
    <w:p>
      <w:pPr>
        <w:pStyle w:val="Ttulododocumento"/>
        <w:jc w:val="both"/>
        <w:rPr>
          <w:b/>
          <w:b/>
          <w:bCs/>
        </w:rPr>
      </w:pPr>
      <w:r>
        <w:rPr>
          <w:b/>
          <w:bCs/>
        </w:rPr>
        <w:t>Acordo de Cooperação (Sem transferência de recursos financeiros)</w:t>
      </w:r>
    </w:p>
    <w:p>
      <w:pPr>
        <w:pStyle w:val="Ttulododocumento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O acordo de cooperação é instrumento por meio do qual são formalizadas as parcerias entre a administração pública federal e as organizações da sociedade civil para a consecução de finalidades de interesse público e recíproco que não envolvam a transferência de recursos financeiros.</w:t>
      </w:r>
      <w:r>
        <w:rPr/>
        <w:t xml:space="preserve"> </w:t>
      </w:r>
    </w:p>
    <w:p>
      <w:pPr>
        <w:pStyle w:val="Ttulododocumento"/>
        <w:jc w:val="both"/>
        <w:rPr>
          <w:rFonts w:ascii="Times New Roman" w:hAnsi="Times New Roman"/>
        </w:rPr>
      </w:pPr>
      <w:r>
        <w:rPr/>
      </w:r>
    </w:p>
    <w:p>
      <w:pPr>
        <w:pStyle w:val="Ttulododocumento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Termo de Fomento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</w:rPr>
        <w:t>(Com transferência de recursos financeiros)</w:t>
      </w:r>
    </w:p>
    <w:p>
      <w:pPr>
        <w:pStyle w:val="Ttulododocumento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O termo de fomento será adotado para a consecução de planos de trabalhos cuja concepção seja das organizações da sociedade civil, com o objetivo de incentivar projetos desenvolvidos ou criados por essas organizações.</w:t>
      </w:r>
    </w:p>
    <w:p>
      <w:pPr>
        <w:pStyle w:val="Ttulododocumento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tulododocumento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Termo de Colaboração (Com transferência de recursos financeiros)</w:t>
      </w:r>
    </w:p>
    <w:p>
      <w:pPr>
        <w:pStyle w:val="Ttulododocumento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O termo de colaboração será adotado para a consecução de planos de trabalho cuja concepção seja da administração pública federal, com o objetivo de executar projetos ou atividades parametrizadas pela administração pública federal.</w:t>
      </w:r>
      <w:r>
        <w:rPr/>
        <w:t xml:space="preserve"> </w:t>
      </w:r>
    </w:p>
    <w:p>
      <w:pPr>
        <w:pStyle w:val="Ttulododocumento"/>
        <w:jc w:val="both"/>
        <w:rPr>
          <w:rFonts w:ascii="Times New Roman" w:hAnsi="Times New Roman"/>
        </w:rPr>
      </w:pPr>
      <w:r>
        <w:rPr/>
      </w:r>
    </w:p>
    <w:p>
      <w:pPr>
        <w:pStyle w:val="Ttulododocumento"/>
        <w:jc w:val="both"/>
        <w:rPr>
          <w:b/>
          <w:b/>
          <w:bCs/>
        </w:rPr>
      </w:pPr>
      <w:r>
        <w:rPr>
          <w:b/>
          <w:bCs/>
        </w:rPr>
        <w:t xml:space="preserve">Convênio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(Com t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ransferência de recursos públicos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)</w:t>
      </w:r>
    </w:p>
    <w:p>
      <w:pPr>
        <w:pStyle w:val="Ttulododocumen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Instrumento, qualquer que discipline a transferência de recursos públicos e tenha como partícipe órgão da administração pública federal direta, autárquica ou fundacional, empresa pública ou sociedade de economia mista que estejam gerindo recursos dos orçamentos da União, visando à execução de programas de trabalho, projeto/atividade ou evento de interesse recíproco, em regime de mútua cooperação;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Ttulododocumento"/>
        <w:jc w:val="left"/>
        <w:rPr>
          <w:rFonts w:ascii="Times New Roman" w:hAnsi="Times New Roman"/>
        </w:rPr>
      </w:pPr>
      <w:r>
        <w:rPr/>
      </w:r>
    </w:p>
    <w:tbl>
      <w:tblPr>
        <w:tblW w:w="963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66"/>
        <w:gridCol w:w="3287"/>
        <w:gridCol w:w="5781"/>
      </w:tblGrid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Seq.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Chamamento Público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left"/>
              <w:rPr/>
            </w:pPr>
            <w:r>
              <w:rPr/>
              <w:t>Aplica-se apenas na celebração de Termo de Fomento e Termo de Colaboração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Proposição da Parceria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left"/>
              <w:rPr/>
            </w:pPr>
            <w:r>
              <w:rPr/>
              <w:t>A celebração de parceria poderá ser proposto pelo IFMT ou pela Organização da Sociedade civil;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Manifestação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left"/>
              <w:rPr/>
            </w:pPr>
            <w:r>
              <w:rPr/>
              <w:t>Após a proposição da parceria por uma das partes, a parte contraria deverá manifestar o interesse na celebração do mesmo.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Instrumentalização do Processo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left"/>
              <w:rPr/>
            </w:pPr>
            <w:r>
              <w:rPr/>
              <w:t>Após os devidos aceites pelas partes, deverá abrir um processo e juntar:</w:t>
            </w:r>
          </w:p>
          <w:p>
            <w:pPr>
              <w:pStyle w:val="Ttulododocumento"/>
              <w:jc w:val="left"/>
              <w:rPr/>
            </w:pPr>
            <w:r>
              <w:rPr/>
              <w:t>a) Documento de proposição e manifestação da parceria;</w:t>
            </w:r>
          </w:p>
          <w:p>
            <w:pPr>
              <w:pStyle w:val="Ttulododocumento"/>
              <w:jc w:val="left"/>
              <w:rPr/>
            </w:pPr>
            <w:r>
              <w:rPr/>
              <w:t>b) Documentação das partes (CNPJ e Inscrição Estadual) e dos representantes legais (Rg; CPF; e Ato de Nomeação)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Elaboração do Plano de Trabalho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both"/>
              <w:rPr/>
            </w:pPr>
            <w:r>
              <w:rPr/>
              <w:t>Deverá conter no mínimo: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a) I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dentificação do objeto a ser executado;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b) Metas a serem atingidas;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c) Etapas ou fases de execução;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d) Plano de aplicação dos recursos financeiros;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e) Cronograma de desembolso;</w:t>
            </w:r>
          </w:p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f) Previsão de início e fim da execução do objeto, bem assim da conclusão das etapas ou fases programadas;</w:t>
            </w:r>
          </w:p>
          <w:p>
            <w:pPr>
              <w:pStyle w:val="Corpodotexto"/>
              <w:spacing w:lineRule="auto" w:line="240" w:before="0" w:after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g) Se o ajuste compreender obra ou serviço de engenharia, comprovação de que os recursos próprios para complementar a execução do objeto estão devidamente assegurados, salvo se o custo total do empreendimento recair sobre a entidade ou órgão descentralizador.</w:t>
            </w:r>
            <w:r>
              <w:rPr/>
              <w:t xml:space="preserve"> 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Assinatura do Plano de Trabalho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Elaboração da minuta do Instrumento de Parcerias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both"/>
              <w:rPr/>
            </w:pPr>
            <w:r>
              <w:rPr/>
              <w:t xml:space="preserve"> </w:t>
            </w:r>
            <w:r>
              <w:rPr/>
              <w:t>Ver modelo disponível no site &lt;proex.ifmt.edu.br&gt;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Aprovação pela Procuradoria 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both"/>
              <w:rPr/>
            </w:pPr>
            <w:r>
              <w:rPr/>
              <w:t>Após ajustados os termos do instrumento de parcerias encaminhar para apreciação da Procuradoria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Assinatura pelas partes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both"/>
              <w:rPr/>
            </w:pPr>
            <w:r>
              <w:rPr/>
              <w:t>Após aprovado pela Procuradoria e atendidas todas as recomendações.</w:t>
            </w:r>
          </w:p>
        </w:tc>
      </w:tr>
      <w:tr>
        <w:trPr/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Publicação </w:t>
            </w:r>
          </w:p>
        </w:tc>
        <w:tc>
          <w:tcPr>
            <w:tcW w:w="5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tulododocumento"/>
              <w:jc w:val="both"/>
              <w:rPr/>
            </w:pPr>
            <w:r>
              <w:rPr/>
              <w:t xml:space="preserve">* </w:t>
            </w:r>
            <w:r>
              <w:rPr/>
              <w:t>Não obrigatório</w:t>
            </w:r>
          </w:p>
        </w:tc>
      </w:tr>
    </w:tbl>
    <w:p>
      <w:pPr>
        <w:pStyle w:val="Ttulododocumento"/>
        <w:jc w:val="left"/>
        <w:rPr/>
      </w:pPr>
      <w:r>
        <w:rPr/>
      </w:r>
    </w:p>
    <w:p>
      <w:pPr>
        <w:pStyle w:val="Ttulododocumento"/>
        <w:jc w:val="left"/>
        <w:rPr/>
      </w:pPr>
      <w:r>
        <w:rPr/>
      </w:r>
    </w:p>
    <w:p>
      <w:pPr>
        <w:pStyle w:val="Ttulododocumento"/>
        <w:jc w:val="left"/>
        <w:rPr/>
      </w:pPr>
      <w:r>
        <w:rPr>
          <w:b/>
          <w:bCs/>
          <w:u w:val="single"/>
        </w:rPr>
        <w:t>Fundamentação Jurídica</w:t>
      </w:r>
      <w:r>
        <w:rPr/>
        <w:t xml:space="preserve"> </w:t>
      </w:r>
    </w:p>
    <w:p>
      <w:pPr>
        <w:pStyle w:val="Ttulododocumento"/>
        <w:jc w:val="left"/>
        <w:rPr/>
      </w:pPr>
      <w:r>
        <w:rPr/>
      </w:r>
    </w:p>
    <w:p>
      <w:pPr>
        <w:pStyle w:val="Ttulododocumento"/>
        <w:jc w:val="both"/>
        <w:rPr/>
      </w:pP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Constituição da República Federativa do Brasil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de 1988.</w:t>
      </w:r>
    </w:p>
    <w:p>
      <w:pPr>
        <w:pStyle w:val="Ttulododocumento"/>
        <w:jc w:val="both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/>
      </w:r>
    </w:p>
    <w:p>
      <w:pPr>
        <w:pStyle w:val="Ttulododocumento"/>
        <w:jc w:val="both"/>
        <w:rPr/>
      </w:pPr>
      <w:hyperlink r:id="rId2"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Lei 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n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º 9.784 , 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e 29 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e 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j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aneiro 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e 1999.</w:t>
        </w:r>
      </w:hyperlink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Regula o processo administrativo no âmbito da Administração Pública Federal.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</w:p>
    <w:p>
      <w:pPr>
        <w:pStyle w:val="Ttulododocumento"/>
        <w:jc w:val="both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r>
        <w:rPr/>
      </w:r>
    </w:p>
    <w:p>
      <w:pPr>
        <w:pStyle w:val="Ttulododocumento"/>
        <w:jc w:val="both"/>
        <w:rPr/>
      </w:pP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Instrução Normativa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a Secretaria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o Tesouro Nacional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n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º 01,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e 15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e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j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aneiro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e 1997. </w:t>
      </w:r>
      <w:r>
        <w:rPr>
          <w:rStyle w:val="Nfaseforte"/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Disciplina a celebração de convênios de natureza financeira que tenham por objeto a execução de projeto ou realização de eventos e da outras providências.</w:t>
      </w:r>
    </w:p>
    <w:p>
      <w:pPr>
        <w:pStyle w:val="Ttulododocumento"/>
        <w:jc w:val="both"/>
        <w:rPr>
          <w:rStyle w:val="Nfaseforte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hyperlink r:id="rId3">
        <w:r>
          <w:rPr/>
        </w:r>
      </w:hyperlink>
    </w:p>
    <w:p>
      <w:pPr>
        <w:pStyle w:val="Ttulododocumento"/>
        <w:jc w:val="left"/>
        <w:rPr/>
      </w:pP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Lei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n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º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8.666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,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e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21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e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j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unho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d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e</w:t>
      </w:r>
      <w:r>
        <w:rPr>
          <w:rStyle w:val="Nfasefort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</w:rPr>
        <w:t>1993</w:t>
      </w:r>
      <w:r>
        <w:rPr>
          <w:rStyle w:val="Nfaseforte"/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.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Regulamenta o art. 37, inciso XXI, da Constituição Federal, institui normas para licitações e contratos da Administração Pública e dá outras providências.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 </w:t>
      </w:r>
    </w:p>
    <w:p>
      <w:pPr>
        <w:pStyle w:val="Ttulododocumento"/>
        <w:jc w:val="left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</w:pPr>
      <w:hyperlink r:id="rId4">
        <w:r>
          <w:rPr/>
        </w:r>
      </w:hyperlink>
    </w:p>
    <w:p>
      <w:pPr>
        <w:pStyle w:val="Ttulododocumento"/>
        <w:jc w:val="both"/>
        <w:rPr/>
      </w:pPr>
      <w:hyperlink r:id="rId5"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Decreto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n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º 6.170,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e 25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e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j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ulho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e 2007.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Dispõe sobre as normas relativas às transferências de recursos da União mediante convênios e contratos de repasse, e dá outras providências.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Ttulododocumen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Ttulododocumento"/>
        <w:jc w:val="both"/>
        <w:rPr/>
      </w:pPr>
      <w:hyperlink r:id="rId6"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Lei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n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º 13.019,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e 31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e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j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 xml:space="preserve">ulho 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d</w:t>
        </w:r>
        <w:r>
          <w:rPr>
            <w:rStyle w:val="Nfaseforte"/>
            <w:rFonts w:ascii="Times New Roman" w:hAnsi="Times New Roman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e 2014.</w:t>
        </w:r>
      </w:hyperlink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position w:val="8"/>
          <w:sz w:val="19"/>
          <w:sz w:val="24"/>
          <w:szCs w:val="24"/>
          <w:u w:val="single"/>
        </w:rPr>
        <w:t>os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position w:val="8"/>
          <w:sz w:val="19"/>
          <w:sz w:val="24"/>
          <w:szCs w:val="24"/>
          <w:u w:val="single"/>
        </w:rPr>
        <w:t xml:space="preserve">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8.429, de 2 de junho de 1992, e 9.790, de 23 de março de 1999.</w:t>
      </w:r>
    </w:p>
    <w:p>
      <w:pPr>
        <w:pStyle w:val="Ttulododocumento"/>
        <w:jc w:val="both"/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both"/>
        <w:rPr/>
      </w:pP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Decreto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>n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º 8.726,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27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>a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bril 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2016.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Regulamenta a Lei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</w:rPr>
        <w:t>nº 13.019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, de 31 de julho de 2014, para dispor sobre regras e procedimentos do regime jurídico das parcerias celebradas entre a administração pública federal e as organizações da sociedade civil.</w:t>
      </w:r>
      <w:r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</w:p>
    <w:p>
      <w:pPr>
        <w:pStyle w:val="Ttulododocumento"/>
        <w:jc w:val="both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both"/>
        <w:rPr/>
      </w:pP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Portaria Interministerial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n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º 424,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30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ezembro 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d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2016. </w:t>
      </w:r>
      <w:r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Estabelece normas para execução do estabelecido no Decreto nº 6.170, de 25 de julho de 2007, que dispõe sobre as normas relativas às transferências de recursos da União mediante convênios e contratos de repasse, revoga a Portaria Interministerial nº 507/MP/MF/CGU, de 24 de novembro de 2011 e dá outras providências.</w:t>
      </w:r>
      <w:r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</w:p>
    <w:p>
      <w:pPr>
        <w:pStyle w:val="Ttulododocumento"/>
        <w:jc w:val="left"/>
        <w:rPr>
          <w:rStyle w:val="Nfaseforte"/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both"/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left"/>
        <w:rPr>
          <w:rStyle w:val="Nfasefort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both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left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both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left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both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left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left"/>
        <w:rPr>
          <w:rStyle w:val="Nfaseforte"/>
          <w:rFonts w:ascii="Times New Roman" w:hAnsi="Times New Roman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Ttulododocumento"/>
        <w:jc w:val="left"/>
        <w:rPr/>
      </w:pPr>
      <w:r>
        <w:rPr/>
      </w:r>
    </w:p>
    <w:p>
      <w:pPr>
        <w:pStyle w:val="Ttulododocumento"/>
        <w:jc w:val="left"/>
        <w:rPr>
          <w:rStyle w:val="Nfaseforte"/>
          <w:rFonts w:ascii="Arial" w:hAnsi="Arial"/>
          <w:i w:val="false"/>
          <w:caps w:val="false"/>
          <w:smallCaps w:val="false"/>
          <w:color w:val="000080"/>
          <w:spacing w:val="0"/>
          <w:sz w:val="16"/>
        </w:rPr>
      </w:pPr>
      <w:r>
        <w:rPr/>
      </w:r>
    </w:p>
    <w:sectPr>
      <w:headerReference w:type="default" r:id="rId7"/>
      <w:type w:val="nextPage"/>
      <w:pgSz w:w="11906" w:h="16838"/>
      <w:pgMar w:left="1134" w:right="1134" w:header="964" w:top="296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rPr>
        <w:rFonts w:ascii="Times New Roman" w:hAnsi="Times New Roman"/>
        <w:sz w:val="22"/>
        <w:szCs w:val="22"/>
      </w:rPr>
    </w:pPr>
    <w:r>
      <w:rPr/>
      <w:drawing>
        <wp:inline distT="0" distB="0" distL="0" distR="0">
          <wp:extent cx="560070" cy="5378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3945890</wp:posOffset>
              </wp:positionH>
              <wp:positionV relativeFrom="paragraph">
                <wp:posOffset>-240030</wp:posOffset>
              </wp:positionV>
              <wp:extent cx="2536190" cy="46672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5480" cy="46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bCs/>
                              <w:color w:val="000000"/>
                              <w:sz w:val="64"/>
                              <w:szCs w:val="64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64"/>
                              <w:szCs w:val="64"/>
                              <w:u w:val="single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310.7pt;margin-top:-18.9pt;width:199.6pt;height:36.65pt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b/>
                        <w:b/>
                        <w:bCs/>
                        <w:color w:val="000000"/>
                        <w:sz w:val="64"/>
                        <w:szCs w:val="64"/>
                        <w:u w:val="single"/>
                      </w:rPr>
                    </w:pPr>
                    <w:r>
                      <w:rPr>
                        <w:b/>
                        <w:bCs/>
                        <w:color w:val="000000"/>
                        <w:sz w:val="64"/>
                        <w:szCs w:val="64"/>
                        <w:u w:val="single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MINISTÉRIO DA EDUCAÇÃO</w:t>
    </w:r>
  </w:p>
  <w:p>
    <w:pPr>
      <w:pStyle w:val="Ttulododocumento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>SECRETARIA DE EDUCAÇÃO TECNOLÓGICA E PROFISSIONAL</w:t>
    </w:r>
  </w:p>
  <w:p>
    <w:pPr>
      <w:pStyle w:val="Normal"/>
      <w:jc w:val="center"/>
      <w:rPr>
        <w:rFonts w:ascii="Times New Roman" w:hAnsi="Times New Roman"/>
        <w:sz w:val="18"/>
        <w:szCs w:val="18"/>
      </w:rPr>
    </w:pPr>
    <w:r>
      <w:rPr>
        <w:rFonts w:cs="Arial"/>
        <w:b/>
        <w:bCs/>
        <w:iCs/>
        <w:sz w:val="18"/>
        <w:szCs w:val="18"/>
      </w:rPr>
      <w:t xml:space="preserve">INSTITUTO FEDERAL DE EDUCAÇÃO, CIÊNCIA E TECNOLOGIA DE MATO GROSSO </w:t>
    </w:r>
  </w:p>
  <w:p>
    <w:pPr>
      <w:pStyle w:val="Normal"/>
      <w:jc w:val="center"/>
      <w:rPr>
        <w:rFonts w:cs="Arial"/>
        <w:b/>
        <w:b/>
        <w:bCs/>
        <w:iCs/>
      </w:rPr>
    </w:pPr>
    <w:r>
      <w:rPr>
        <w:rFonts w:cs="Arial"/>
        <w:b/>
        <w:bCs/>
        <w:iCs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pPr>
      <w:keepNext/>
      <w:jc w:val="center"/>
      <w:outlineLvl w:val="1"/>
    </w:pPr>
    <w:rPr>
      <w:b/>
    </w:rPr>
  </w:style>
  <w:style w:type="paragraph" w:styleId="Ttulo3">
    <w:name w:val="Título 3"/>
    <w:basedOn w:val="Normal"/>
    <w:pPr>
      <w:keepNext/>
      <w:tabs>
        <w:tab w:val="left" w:pos="0" w:leader="none"/>
      </w:tabs>
      <w:ind w:left="720" w:hanging="72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Ttulo3Char" w:customStyle="1">
    <w:name w:val="Título 3 Char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rPr>
      <w:b/>
      <w:bCs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 w:customStyle="1">
    <w:name w:val="Título do documento"/>
    <w:basedOn w:val="Normal"/>
    <w:pPr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ubttulo">
    <w:name w:val="Subtítulo"/>
    <w:basedOn w:val="Normal"/>
    <w:pPr/>
    <w:rPr>
      <w:rFonts w:ascii="Cambria" w:hAnsi="Cambria"/>
      <w:i/>
      <w:iCs/>
      <w:color w:val="4F81BD"/>
      <w:spacing w:val="15"/>
    </w:rPr>
  </w:style>
  <w:style w:type="paragraph" w:styleId="NormalWeb">
    <w:name w:val="Normal (Web)"/>
    <w:basedOn w:val="Normal"/>
    <w:qFormat/>
    <w:pPr>
      <w:spacing w:before="0" w:after="280"/>
    </w:pPr>
    <w:rPr>
      <w:lang w:eastAsia="pt-BR"/>
    </w:rPr>
  </w:style>
  <w:style w:type="paragraph" w:styleId="Corpodetextorecuado">
    <w:name w:val="Corpo de texto recuado"/>
    <w:basedOn w:val="Normal"/>
    <w:pPr>
      <w:ind w:left="2835" w:right="0" w:hanging="0"/>
      <w:jc w:val="both"/>
    </w:pPr>
    <w:rPr>
      <w:b/>
      <w:sz w:val="24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536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gislacao.planalto.gov.br/legisla/legislacao.nsf/Viw_Identificacao/lei 9.784-1999?OpenDocument" TargetMode="External"/><Relationship Id="rId3" Type="http://schemas.openxmlformats.org/officeDocument/2006/relationships/hyperlink" Target="http://legislacao.planalto.gov.br/legisla/legislacao.nsf/Viw_Identificacao/DEC 6.170-2007?OpenDocument" TargetMode="External"/><Relationship Id="rId4" Type="http://schemas.openxmlformats.org/officeDocument/2006/relationships/hyperlink" Target="http://legislacao.planalto.gov.br/legisla/legislacao.nsf/Viw_Identificacao/DEC 6.170-2007?OpenDocument" TargetMode="External"/><Relationship Id="rId5" Type="http://schemas.openxmlformats.org/officeDocument/2006/relationships/hyperlink" Target="http://legislacao.planalto.gov.br/legisla/legislacao.nsf/Viw_Identificacao/DEC 6.170-2007?OpenDocument" TargetMode="External"/><Relationship Id="rId6" Type="http://schemas.openxmlformats.org/officeDocument/2006/relationships/hyperlink" Target="http://legislacao.planalto.gov.br/legisla/legislacao.nsf/Viw_Identificacao/lei 13.019-2014?OpenDocumen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98641</TotalTime>
  <Application>LibreOffice/4.4.1.2$Windows_x86 LibreOffice_project/45e2de17089c24a1fa810c8f975a7171ba4cd432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2017-11-07T11:50:00Z</dcterms:created>
  <dc:creator>Lindomar</dc:creator>
  <dc:language>pt</dc:language>
  <cp:lastPrinted>2017-11-14T11:26:28Z</cp:lastPrinted>
  <dcterms:modified xsi:type="dcterms:W3CDTF">2018-02-28T13:29:05Z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